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6F9D616D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privasi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pemberian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di Orkla</w:t>
      </w:r>
    </w:p>
    <w:p w14:paraId="03AF8937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Orkla ASA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laporkan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kecuali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jika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memilih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melakukannya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tanpa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dikesan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Orkla Group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bergabung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syarikat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tempatan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tatacara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betul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mengendalikan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tersebut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>.</w:t>
      </w:r>
    </w:p>
    <w:p w14:paraId="002FA4C7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Matlamat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pemprosesan</w:t>
      </w:r>
      <w:proofErr w:type="spellEnd"/>
    </w:p>
    <w:p w14:paraId="7660918A" w14:textId="2A8C2C16" w:rsidR="005303E8" w:rsidRPr="005303E8" w:rsidRDefault="005303E8" w:rsidP="005303E8">
      <w:pPr>
        <w:pStyle w:val="HTML-forhndsformatert"/>
        <w:shd w:val="clear" w:color="auto" w:fill="FFFFFF"/>
        <w:spacing w:after="240"/>
        <w:jc w:val="both"/>
        <w:rPr>
          <w:rFonts w:ascii="Arial" w:hAnsi="Arial" w:cs="Arial"/>
          <w:color w:val="212121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Orkla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mengunakan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seperti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pemberian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kejadian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menguruskan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sebarang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jenayah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rasuah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salah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laku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berkomunikasi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pihak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terlibat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demikian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adalah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perlu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memastikan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r w:rsidRPr="00E6572F">
        <w:rPr>
          <w:rFonts w:ascii="Arial" w:hAnsi="Arial" w:cs="Arial"/>
          <w:color w:val="212121"/>
          <w:sz w:val="24"/>
          <w:szCs w:val="24"/>
          <w:lang w:val="ms-MY"/>
        </w:rPr>
        <w:t>kepentingan sah kami mengur</w:t>
      </w:r>
      <w:r>
        <w:rPr>
          <w:rFonts w:ascii="Arial" w:hAnsi="Arial" w:cs="Arial"/>
          <w:color w:val="212121"/>
          <w:sz w:val="24"/>
          <w:szCs w:val="24"/>
          <w:lang w:val="ms-MY"/>
        </w:rPr>
        <w:t>uskan saluran pemberi maklumat O</w:t>
      </w:r>
      <w:r w:rsidRPr="00E6572F">
        <w:rPr>
          <w:rFonts w:ascii="Arial" w:hAnsi="Arial" w:cs="Arial"/>
          <w:color w:val="212121"/>
          <w:sz w:val="24"/>
          <w:szCs w:val="24"/>
          <w:lang w:val="ms-MY"/>
        </w:rPr>
        <w:t>rkla dan melaksanakan kewajipan kami dalam bidang undang-undang pekerjaan</w:t>
      </w:r>
      <w:r>
        <w:rPr>
          <w:rFonts w:ascii="Arial" w:hAnsi="Arial" w:cs="Arial"/>
          <w:color w:val="212121"/>
          <w:sz w:val="24"/>
          <w:szCs w:val="24"/>
          <w:lang w:val="ms-MY"/>
        </w:rPr>
        <w:t>.</w:t>
      </w:r>
    </w:p>
    <w:p w14:paraId="71BC526A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Kategori data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diproses</w:t>
      </w:r>
      <w:proofErr w:type="spellEnd"/>
    </w:p>
    <w:p w14:paraId="60B2B34D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Beberapa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jenis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seperti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kesihatan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orientasi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seksual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kepercayaan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agama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hanya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sekiranya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perlu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menjalankan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tanggungjawab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hak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kami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dalam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mematuhi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-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kesalahan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hanya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mengikut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pertubuhan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kaedah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perlindungan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dari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tuntutan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undang-undang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dalam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tertentu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berdasarkan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tertentu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melaporkan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keraguan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jenayah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kepada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polis.</w:t>
      </w:r>
    </w:p>
    <w:p w14:paraId="4295887C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Tempoh</w:t>
      </w:r>
      <w:proofErr w:type="spellEnd"/>
      <w:r w:rsidRPr="000D7FAB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b/>
          <w:sz w:val="24"/>
          <w:szCs w:val="24"/>
          <w:lang w:val="nb-NO"/>
        </w:rPr>
        <w:t>penyimpanan</w:t>
      </w:r>
      <w:proofErr w:type="spellEnd"/>
    </w:p>
    <w:p w14:paraId="7DA1CC05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Data anda akan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disimpan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sehingga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dua (2)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bulan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bagi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tempoh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lebih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lama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sekiranya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diperlukan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dari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tarikh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penutupan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isu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tersebut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menangani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mempertahankan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tuntutan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-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undang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>.</w:t>
      </w:r>
    </w:p>
    <w:p w14:paraId="431CC6E4" w14:textId="77777777" w:rsidR="005303E8" w:rsidRPr="000D7FAB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r w:rsidRPr="000D7FAB">
        <w:rPr>
          <w:rFonts w:ascii="Arial" w:hAnsi="Arial" w:cs="Arial"/>
          <w:b/>
          <w:sz w:val="24"/>
          <w:szCs w:val="24"/>
          <w:lang w:val="nb-NO"/>
        </w:rPr>
        <w:t>Hak anda</w:t>
      </w:r>
    </w:p>
    <w:p w14:paraId="4206E209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r w:rsidRPr="000D7FAB">
        <w:rPr>
          <w:rFonts w:ascii="Arial" w:hAnsi="Arial" w:cs="Arial"/>
          <w:sz w:val="24"/>
          <w:szCs w:val="24"/>
          <w:lang w:val="nb-NO"/>
        </w:rPr>
        <w:t xml:space="preserve">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memiliki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hak-hak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tertentu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akses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yang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telah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kami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simpan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Antaranya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, anda juga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berhak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meminta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transkrip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memperbetulkan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anda.</w:t>
      </w:r>
    </w:p>
    <w:p w14:paraId="1D1A3881" w14:textId="77777777" w:rsidR="005303E8" w:rsidRPr="000D7FAB" w:rsidRDefault="005303E8" w:rsidP="005303E8">
      <w:pPr>
        <w:jc w:val="both"/>
        <w:rPr>
          <w:rFonts w:ascii="Arial" w:hAnsi="Arial" w:cs="Arial"/>
          <w:sz w:val="24"/>
          <w:szCs w:val="24"/>
          <w:lang w:val="nb-NO"/>
        </w:rPr>
      </w:pP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Untuk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lanjut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cara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kami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memproses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sila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rujuk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maklumat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am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pemprosesan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kepada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pekerja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atau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mohon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daripada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syarikat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tempatan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anda.</w:t>
      </w:r>
    </w:p>
    <w:p w14:paraId="11F68069" w14:textId="77777777" w:rsidR="005303E8" w:rsidRPr="005303E8" w:rsidRDefault="005303E8" w:rsidP="00993941">
      <w:pPr>
        <w:spacing w:after="0"/>
        <w:jc w:val="both"/>
        <w:rPr>
          <w:rFonts w:ascii="Arial" w:hAnsi="Arial" w:cs="Arial"/>
          <w:b/>
          <w:sz w:val="24"/>
          <w:szCs w:val="24"/>
          <w:lang w:val="nb-NO"/>
        </w:rPr>
      </w:pPr>
      <w:proofErr w:type="spellStart"/>
      <w:r w:rsidRPr="005303E8">
        <w:rPr>
          <w:rFonts w:ascii="Arial" w:hAnsi="Arial" w:cs="Arial"/>
          <w:b/>
          <w:sz w:val="24"/>
          <w:szCs w:val="24"/>
          <w:lang w:val="nb-NO"/>
        </w:rPr>
        <w:t>Hubungi</w:t>
      </w:r>
      <w:proofErr w:type="spellEnd"/>
      <w:r w:rsidRPr="005303E8">
        <w:rPr>
          <w:rFonts w:ascii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Pr="005303E8">
        <w:rPr>
          <w:rFonts w:ascii="Arial" w:hAnsi="Arial" w:cs="Arial"/>
          <w:b/>
          <w:sz w:val="24"/>
          <w:szCs w:val="24"/>
          <w:lang w:val="nb-NO"/>
        </w:rPr>
        <w:t>Kami</w:t>
      </w:r>
      <w:proofErr w:type="spellEnd"/>
    </w:p>
    <w:p w14:paraId="38A903ED" w14:textId="5F1D238C" w:rsidR="005303E8" w:rsidRDefault="005303E8" w:rsidP="005303E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Jika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mempunyai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sebarang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pertanyaan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mengenai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cara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pemprosesan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data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peribadi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anda,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sila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Pr="000D7FAB">
        <w:rPr>
          <w:rFonts w:ascii="Arial" w:hAnsi="Arial" w:cs="Arial"/>
          <w:sz w:val="24"/>
          <w:szCs w:val="24"/>
          <w:lang w:val="nb-NO"/>
        </w:rPr>
        <w:t>hubungi</w:t>
      </w:r>
      <w:proofErr w:type="spellEnd"/>
      <w:r w:rsidRPr="000D7FAB">
        <w:rPr>
          <w:rFonts w:ascii="Arial" w:hAnsi="Arial" w:cs="Arial"/>
          <w:sz w:val="24"/>
          <w:szCs w:val="24"/>
          <w:lang w:val="nb-NO"/>
        </w:rPr>
        <w:t xml:space="preserve"> </w:t>
      </w:r>
      <w:hyperlink r:id="rId9" w:history="1">
        <w:r w:rsidRPr="000D7FAB">
          <w:rPr>
            <w:rStyle w:val="Hyperkobling"/>
            <w:rFonts w:ascii="Arial" w:hAnsi="Arial" w:cs="Arial"/>
            <w:sz w:val="24"/>
            <w:szCs w:val="24"/>
            <w:lang w:val="nb-NO"/>
          </w:rPr>
          <w:t>privacy@orkla.no</w:t>
        </w:r>
      </w:hyperlink>
      <w:r w:rsidRPr="000D7FAB">
        <w:rPr>
          <w:rFonts w:ascii="Arial" w:hAnsi="Arial" w:cs="Arial"/>
          <w:sz w:val="24"/>
          <w:szCs w:val="24"/>
          <w:lang w:val="nb-NO"/>
        </w:rPr>
        <w:t xml:space="preserve">. </w:t>
      </w:r>
      <w:proofErr w:type="spellStart"/>
      <w:r w:rsidRPr="00E6572F">
        <w:rPr>
          <w:rFonts w:ascii="Arial" w:hAnsi="Arial" w:cs="Arial"/>
          <w:sz w:val="24"/>
          <w:szCs w:val="24"/>
        </w:rPr>
        <w:t>Anda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E6572F">
        <w:rPr>
          <w:rFonts w:ascii="Arial" w:hAnsi="Arial" w:cs="Arial"/>
          <w:sz w:val="24"/>
          <w:szCs w:val="24"/>
        </w:rPr>
        <w:t>berhak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membuat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aduan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berkaitan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dengan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pemprosesan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6572F">
        <w:rPr>
          <w:rFonts w:ascii="Arial" w:hAnsi="Arial" w:cs="Arial"/>
          <w:sz w:val="24"/>
          <w:szCs w:val="24"/>
        </w:rPr>
        <w:t>peribadi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dengan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enguatkuasa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perlindungan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6572F">
        <w:rPr>
          <w:rFonts w:ascii="Arial" w:hAnsi="Arial" w:cs="Arial"/>
          <w:sz w:val="24"/>
          <w:szCs w:val="24"/>
        </w:rPr>
        <w:t>tempatan</w:t>
      </w:r>
      <w:proofErr w:type="spellEnd"/>
      <w:r w:rsidRPr="00E6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572F">
        <w:rPr>
          <w:rFonts w:ascii="Arial" w:hAnsi="Arial" w:cs="Arial"/>
          <w:sz w:val="24"/>
          <w:szCs w:val="24"/>
        </w:rPr>
        <w:t>anda</w:t>
      </w:r>
      <w:proofErr w:type="spellEnd"/>
      <w:r w:rsidRPr="00E6572F">
        <w:rPr>
          <w:rFonts w:ascii="Arial" w:hAnsi="Arial" w:cs="Arial"/>
          <w:sz w:val="24"/>
          <w:szCs w:val="24"/>
        </w:rPr>
        <w:t>.</w:t>
      </w:r>
    </w:p>
    <w:p w14:paraId="7BE99D27" w14:textId="77777777" w:rsidR="00993941" w:rsidRDefault="00993941" w:rsidP="005303E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9F2537" w14:textId="77777777" w:rsidR="00993941" w:rsidRPr="00B86E00" w:rsidRDefault="00993941" w:rsidP="00993941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43636F45" w14:textId="77777777" w:rsidR="00993941" w:rsidRPr="00B86E00" w:rsidRDefault="00993941" w:rsidP="00993941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5871AA4D" w14:textId="77777777" w:rsidR="00993941" w:rsidRPr="00E6572F" w:rsidRDefault="00993941" w:rsidP="005303E8">
      <w:pPr>
        <w:jc w:val="both"/>
        <w:rPr>
          <w:rFonts w:ascii="Arial" w:hAnsi="Arial" w:cs="Arial"/>
          <w:sz w:val="24"/>
          <w:szCs w:val="24"/>
        </w:rPr>
      </w:pPr>
    </w:p>
    <w:sectPr w:rsidR="00993941" w:rsidRPr="00E657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9115" w14:textId="77777777" w:rsidR="00324BA5" w:rsidRDefault="00324BA5" w:rsidP="00A62B2A">
      <w:pPr>
        <w:spacing w:after="0" w:line="240" w:lineRule="auto"/>
      </w:pPr>
      <w:r>
        <w:separator/>
      </w:r>
    </w:p>
  </w:endnote>
  <w:endnote w:type="continuationSeparator" w:id="0">
    <w:p w14:paraId="0A5D3179" w14:textId="77777777" w:rsidR="00324BA5" w:rsidRDefault="00324BA5" w:rsidP="00A62B2A">
      <w:pPr>
        <w:spacing w:after="0" w:line="240" w:lineRule="auto"/>
      </w:pPr>
      <w:r>
        <w:continuationSeparator/>
      </w:r>
    </w:p>
  </w:endnote>
  <w:endnote w:type="continuationNotice" w:id="1">
    <w:p w14:paraId="098EFF42" w14:textId="77777777" w:rsidR="00324BA5" w:rsidRDefault="00324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8614" w14:textId="77777777" w:rsidR="00324BA5" w:rsidRDefault="00324BA5" w:rsidP="00A62B2A">
      <w:pPr>
        <w:spacing w:after="0" w:line="240" w:lineRule="auto"/>
      </w:pPr>
      <w:r>
        <w:separator/>
      </w:r>
    </w:p>
  </w:footnote>
  <w:footnote w:type="continuationSeparator" w:id="0">
    <w:p w14:paraId="6A279AC5" w14:textId="77777777" w:rsidR="00324BA5" w:rsidRDefault="00324BA5" w:rsidP="00A62B2A">
      <w:pPr>
        <w:spacing w:after="0" w:line="240" w:lineRule="auto"/>
      </w:pPr>
      <w:r>
        <w:continuationSeparator/>
      </w:r>
    </w:p>
  </w:footnote>
  <w:footnote w:type="continuationNotice" w:id="1">
    <w:p w14:paraId="42DA2C9F" w14:textId="77777777" w:rsidR="00324BA5" w:rsidRDefault="00324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2F736E"/>
    <w:rsid w:val="00324BA5"/>
    <w:rsid w:val="003732E1"/>
    <w:rsid w:val="003A5969"/>
    <w:rsid w:val="00411BFC"/>
    <w:rsid w:val="005303E8"/>
    <w:rsid w:val="00543139"/>
    <w:rsid w:val="00570F8A"/>
    <w:rsid w:val="00573901"/>
    <w:rsid w:val="0057683E"/>
    <w:rsid w:val="005967FB"/>
    <w:rsid w:val="006600FE"/>
    <w:rsid w:val="006669DC"/>
    <w:rsid w:val="006B1924"/>
    <w:rsid w:val="006B5676"/>
    <w:rsid w:val="007E0493"/>
    <w:rsid w:val="00853B34"/>
    <w:rsid w:val="00876C38"/>
    <w:rsid w:val="009016A5"/>
    <w:rsid w:val="00991F69"/>
    <w:rsid w:val="00993941"/>
    <w:rsid w:val="00A62B2A"/>
    <w:rsid w:val="00AB6950"/>
    <w:rsid w:val="00AE5F99"/>
    <w:rsid w:val="00BA7897"/>
    <w:rsid w:val="00BB338B"/>
    <w:rsid w:val="00C9439A"/>
    <w:rsid w:val="00CD49A4"/>
    <w:rsid w:val="00D048B2"/>
    <w:rsid w:val="00E611C7"/>
    <w:rsid w:val="00E70283"/>
    <w:rsid w:val="00E72FF3"/>
    <w:rsid w:val="00E807CC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3E8"/>
    <w:pPr>
      <w:spacing w:after="200" w:line="276" w:lineRule="auto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paragraph" w:styleId="HTML-forhndsformatert">
    <w:name w:val="HTML Preformatted"/>
    <w:basedOn w:val="Normal"/>
    <w:link w:val="HTML-forhndsformatertTegn"/>
    <w:uiPriority w:val="99"/>
    <w:unhideWhenUsed/>
    <w:rsid w:val="0053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5303E8"/>
    <w:rPr>
      <w:rFonts w:ascii="Courier New" w:eastAsia="Times New Roman" w:hAnsi="Courier New" w:cs="Courier New"/>
      <w:sz w:val="20"/>
      <w:szCs w:val="20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1" Type="http://schemas.openxmlformats.org/officeDocument/2006/relationships/hyperlink" Target="https://ec.europa.eu/newsroom/article29/item-detail.cfm?item_id=612080" TargetMode="Externa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7C1BB-3807-4E3B-909D-E485B6069828}"/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A26CD136-09DA-46BE-B5C0-2EF84F054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4</cp:revision>
  <dcterms:created xsi:type="dcterms:W3CDTF">2018-12-13T11:05:00Z</dcterms:created>
  <dcterms:modified xsi:type="dcterms:W3CDTF">2019-01-09T10:32:00Z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